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line="660" w:lineRule="exact"/>
        <w:ind w:firstLine="1540" w:firstLineChars="350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00" w:afterAutospacing="1" w:line="560" w:lineRule="exact"/>
        <w:ind w:left="4016" w:hanging="4016" w:hangingChars="400"/>
        <w:textAlignment w:val="auto"/>
        <w:rPr>
          <w:rFonts w:ascii="Times New Roman" w:hAnsi="Times New Roman" w:cs="Times New Roman"/>
          <w:b/>
          <w:color w:val="FF0000"/>
          <w:sz w:val="100"/>
          <w:szCs w:val="100"/>
        </w:rPr>
      </w:pPr>
      <w:r>
        <w:rPr>
          <w:rFonts w:ascii="Times New Roman" w:hAnsi="宋体" w:cs="Times New Roman"/>
          <w:b/>
          <w:color w:val="FF0000"/>
          <w:sz w:val="100"/>
          <w:szCs w:val="100"/>
        </w:rPr>
        <w:t>政务服务工作月报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00" w:afterAutospacing="1" w:line="560" w:lineRule="exact"/>
        <w:ind w:left="1280" w:hanging="1280" w:hangingChars="400"/>
        <w:jc w:val="center"/>
        <w:textAlignment w:val="auto"/>
        <w:rPr>
          <w:rFonts w:ascii="Times New Roman" w:hAnsi="Times New Roman" w:eastAsia="仿宋_GB2312" w:cs="Times New Roman"/>
          <w:b/>
          <w:color w:val="FF0000"/>
          <w:sz w:val="32"/>
        </w:rPr>
      </w:pPr>
      <w:r>
        <w:rPr>
          <w:rFonts w:ascii="Times New Roman" w:hAnsi="Times New Roman" w:eastAsia="仿宋_GB2312" w:cs="Times New Roman"/>
          <w:sz w:val="32"/>
        </w:rPr>
        <w:t>第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00" w:afterAutospacing="1" w:line="560" w:lineRule="exact"/>
        <w:textAlignment w:val="auto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</w:rPr>
        <w:pict>
          <v:line id="_x0000_s2050" o:spid="_x0000_s2050" o:spt="20" style="position:absolute;left:0pt;flip:y;margin-left:-1.9pt;margin-top:27.45pt;height:1.6pt;width:420.75pt;z-index:251658240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32"/>
        </w:rPr>
        <w:t>阿坝州人民政府政务服务中心        201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</w:rPr>
        <w:t>年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</w:rPr>
        <w:t>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14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</w:rPr>
        <w:t>日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21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0" w:leftChars="0" w:right="0" w:rightChars="0" w:firstLine="2755" w:firstLineChars="765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000000"/>
          <w:sz w:val="36"/>
          <w:szCs w:val="36"/>
        </w:rPr>
        <w:t>全州政务服务工作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z w:val="36"/>
          <w:szCs w:val="36"/>
          <w:lang w:val="en-US" w:eastAsia="zh-CN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</w:rPr>
        <w:t>●全州政务服务工作完成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4月，全州共受理各类行政审批和公共服务事项86245件、办结85645件，办结率为99.3%。其中，州级政务服务平台受理各类事项19219件，办结19035件，办结率为99%。各县（市）政务服务平台受理各类事项67026件，办结66610 件，办结率为99.4%。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</w:rPr>
        <w:t>●全州并联审批工作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4月，全州共办理522个并联审批项目，完成投资额58.69亿元。其中，州本级办理11个，完成投资额1.82亿元。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</w:rPr>
        <w:t>●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州本级政务服务工作动态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州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服务中心三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举措积极推进全州各级政务服务“好差评”工作机制，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一是健全评价体系，畅通评价渠道。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印发《阿坝州“好差评”工作实施方案》，完善“好差评”评价、核查、整改、回访、监督、考核全流程工作机制，设置窗口评价仪、评价二维码等，畅通线上线下评价渠道。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二是加大宣传力度，加强评价引导。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通过印制“好差评”宣传海报、LED屏幕、政务新媒体和政务专递信封等载体，加强四川政务服务网、天府通办APP、微信小程序、支付宝、二维码、评价仪、12345政务服务热线等评价渠道的宣传力度。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三是重视评价管理，强化结果运用。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明确职责分工，落实专人负责，组织开展“不满意”或者“非常不满意”等“差评”核查整改工作。定期开展“好差评”情况通报，强化效能监督和结果运用。对已办结的“差评”问题，开展电话回访、复核和满意度测评，并在15个自然日内回复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4月2日，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州政务服务中心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组织召开集中学习及窗口服务意识不强工作推进会，会议由罗德江副主任主持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会上传达学习了州纪委监委《关于开展“三察三治”工作的通知》，对省政府办公厅《关于印发四川省深化“放管服”改革优化营商环境2020年工作要点的通知》中涉及窗口服务“质效提升”方面内容进行细化分解，提出具体要求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持续深化行政审批制度改革，结合服务意识不强专项整治，聚焦企业群众办事的“堵点”“难点”问题，着力解决企业群众的办事慢、办事烦等问题。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要转变工作作风，提升服务质量。部门窗口要严肃工作纪律和工作要求，窗口人员要严格执行一次性告知、AB岗、去向告知、请销假及着装规范等管理制度。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全面实行“好差评”制度，促进企业和群众积极参与、社会各界广泛评价、服务部门及时改进的良性互动，持续提升政务服务质量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4月8日至9日，州政务服务中心主任谢荣妹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副主任罗德江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到红原县邛溪镇玛萨村开展两联一进群众工作全覆盖活动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了解疫情发生以来全村疫情防控举措落实、防疫知识宣传和人流监测等工作开展情况。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在村期间，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谢荣妹一行分两组开展全覆盖式走访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每到一户，走访组一行都详细了解他们的生产生活现状，询问其子女入学、住房安全、看病就医及疫情下的经济收入等情况，认真查看领袖像进家庭情况，仔细宣讲新冠肺炎疫情防控知识、各项惠农惠民及全面决胜脱贫攻坚政策，认真听取牧民群众的心声，并叮嘱他们要讲究家庭环境卫生、注意用火安全，勉励困难群众要坚定信心、乐观向上，紧跟党和政府脱贫攻坚步伐，争取早日摆脱困境，走上致富道路。走访结束后，谢荣妹一行还前往村两委与两委班子及邛溪镇联系帮村领导等座谈，了解村级产业复工复产、草原防火等情况，听取村级旅游、奶制产品销售等方面存在的实际困难，共商下一步联系帮扶和产业发展等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4月23日，州政务服务中心第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党支部组织党员到美谷社区开展“双报到”主题党日活动，中心领导谢荣妹、罗德江同志以普通党员身份参与活动。在社区“双报到”期间，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党员同志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深入贫困孤寡老人、退役困难党员和贫困老人等困难群众家中走访慰问，逐一了解他们的生活来源是否稳定，看病就医是否有困难、住房安全是否有保障等等，耐心听取他们的诉求，并送去生活慰问物资，用点点滴滴温暖基层贫困党员群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力争通过社区共建、共管行动，助力他们早日脱贫解困，同时鼓励困难群众要在各级党委政府的扶贫和救助政策帮扶下，学会自力更生，并祝愿贫困老人身体健康、晚年幸福。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●州本级政务大厅窗口工作动态</w:t>
      </w:r>
    </w:p>
    <w:p>
      <w:pPr>
        <w:keepNext w:val="0"/>
        <w:keepLines w:val="0"/>
        <w:pageBreakBefore w:val="0"/>
        <w:tabs>
          <w:tab w:val="left" w:pos="21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月1日，作为全省统一社会保险信息系统上线运行试点市州，州社保局推出“一窗受理、一站式服务、一柜台办结”的“综合柜员制”服务新模式，162项政务窗口业务实现了“前台综合受理、后台分类审批、统一窗口出件”，为办事企业和群众提供了更便捷的社保服务体验。</w:t>
      </w:r>
    </w:p>
    <w:p>
      <w:pPr>
        <w:pStyle w:val="11"/>
        <w:keepNext w:val="0"/>
        <w:keepLines w:val="0"/>
        <w:pageBreakBefore w:val="0"/>
        <w:tabs>
          <w:tab w:val="left" w:pos="21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</w:rPr>
        <w:t>●部门领导进大厅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lang w:val="en-US" w:eastAsia="zh-CN"/>
        </w:rPr>
        <w:t>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20日上午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，州医保局局长李军到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州政务中心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医保局窗口检查指导工作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4月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20日上午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，州水务局局长、党组书记陈连义到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州政务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水务局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窗口指导工作。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小标宋简体" w:cs="Times New Roman"/>
          <w:b/>
          <w:bCs w:val="0"/>
          <w:color w:val="000000"/>
          <w:kern w:val="2"/>
          <w:sz w:val="36"/>
          <w:szCs w:val="36"/>
          <w:lang w:val="en-US" w:eastAsia="zh-CN" w:bidi="bo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4月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20日上午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，州公安局常务副局长张春刚到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州政务中心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公安局窗口检查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指导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工作。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2"/>
          <w:sz w:val="36"/>
          <w:szCs w:val="36"/>
          <w:lang w:val="en-US" w:eastAsia="zh-CN" w:bidi="bo-CN"/>
        </w:rPr>
        <w:t xml:space="preserve">        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2"/>
          <w:sz w:val="36"/>
          <w:szCs w:val="36"/>
          <w:lang w:val="en-US" w:eastAsia="zh-CN" w:bidi="bo-CN"/>
        </w:rPr>
        <w:t xml:space="preserve">  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kern w:val="2"/>
          <w:sz w:val="36"/>
          <w:szCs w:val="36"/>
          <w:lang w:val="en-US" w:eastAsia="zh-CN" w:bidi="bo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2161" w:firstLineChars="600"/>
        <w:textAlignment w:val="auto"/>
        <w:outlineLvl w:val="9"/>
        <w:rPr>
          <w:rFonts w:hint="default" w:ascii="Times New Roman" w:hAnsi="Times New Roman" w:eastAsia="方正小标宋简体" w:cs="Times New Roman"/>
          <w:b/>
          <w:bCs w:val="0"/>
          <w:color w:val="000000"/>
          <w:kern w:val="2"/>
          <w:sz w:val="36"/>
          <w:szCs w:val="36"/>
          <w:lang w:val="en-US" w:eastAsia="zh-CN" w:bidi="bo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000000"/>
          <w:kern w:val="2"/>
          <w:sz w:val="36"/>
          <w:szCs w:val="36"/>
          <w:lang w:val="en-US" w:eastAsia="zh-CN" w:bidi="bo-CN"/>
        </w:rPr>
        <w:t>各县（市）政务服务工作动态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40" w:lineRule="atLeas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马尔康市行政审批局以“三个明确”，积极推行相对集中行政许可权工作。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明确工作思路，加强学习教育。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通过专题会议和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交流学习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的形式推进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相对集中行政许可权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划转工作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明确划转事项，拟定实施方案。科学界定20个部门的177项行政许可事项，分两批集中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划转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到审批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。在完成行政许可事项、人员和职责的划转和政务服务场所改造、流程再造的基础上，计划从2020年6月-10月开展为期5个月的试运行。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明确责任划分，强化工作保障。切实发挥牵头引领作用，进一步明确各相关部门划转事项相关职责，对承接办理的事项清单实行动态管理，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做到权力划转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内容更具体、责任更清晰、追责更严格。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4月22日，汶川县行政审批局、县编办一行9人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理县行政审批局现场交流学习行政审批事项划转、机构设置和“一枚印章管审批”运作等方面工作经验。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0" w:lineRule="atLeast"/>
        <w:ind w:left="0" w:firstLine="420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tabs>
          <w:tab w:val="left" w:pos="2112"/>
        </w:tabs>
        <w:spacing w:beforeLines="50" w:afterLines="50" w:line="54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0BC5"/>
    <w:rsid w:val="00084BCD"/>
    <w:rsid w:val="000E3C28"/>
    <w:rsid w:val="00127586"/>
    <w:rsid w:val="00325351"/>
    <w:rsid w:val="00367249"/>
    <w:rsid w:val="00395223"/>
    <w:rsid w:val="00410BC5"/>
    <w:rsid w:val="00431790"/>
    <w:rsid w:val="00443BAD"/>
    <w:rsid w:val="00453146"/>
    <w:rsid w:val="00462D4F"/>
    <w:rsid w:val="004728AA"/>
    <w:rsid w:val="00483B0B"/>
    <w:rsid w:val="004F5B63"/>
    <w:rsid w:val="005315C6"/>
    <w:rsid w:val="0053715E"/>
    <w:rsid w:val="00595E60"/>
    <w:rsid w:val="005A7F17"/>
    <w:rsid w:val="005E691C"/>
    <w:rsid w:val="0060429A"/>
    <w:rsid w:val="00733560"/>
    <w:rsid w:val="00760AD1"/>
    <w:rsid w:val="007F0A21"/>
    <w:rsid w:val="008135F1"/>
    <w:rsid w:val="0085196C"/>
    <w:rsid w:val="00883AA1"/>
    <w:rsid w:val="00883EED"/>
    <w:rsid w:val="008C6AB4"/>
    <w:rsid w:val="008D2AB3"/>
    <w:rsid w:val="00952AE1"/>
    <w:rsid w:val="00987FCA"/>
    <w:rsid w:val="009D7965"/>
    <w:rsid w:val="009D7E30"/>
    <w:rsid w:val="009E2FE0"/>
    <w:rsid w:val="009F1469"/>
    <w:rsid w:val="00A368ED"/>
    <w:rsid w:val="00A461EF"/>
    <w:rsid w:val="00A6304E"/>
    <w:rsid w:val="00A6587A"/>
    <w:rsid w:val="00A70A8C"/>
    <w:rsid w:val="00A77CED"/>
    <w:rsid w:val="00AB6806"/>
    <w:rsid w:val="00B00BED"/>
    <w:rsid w:val="00B44017"/>
    <w:rsid w:val="00B518FD"/>
    <w:rsid w:val="00B94306"/>
    <w:rsid w:val="00BA65BF"/>
    <w:rsid w:val="00CC6E3F"/>
    <w:rsid w:val="00D45ED1"/>
    <w:rsid w:val="00D60288"/>
    <w:rsid w:val="00D97565"/>
    <w:rsid w:val="00DC7AFA"/>
    <w:rsid w:val="00E41C9E"/>
    <w:rsid w:val="00E430F8"/>
    <w:rsid w:val="00E5217E"/>
    <w:rsid w:val="00E70DE1"/>
    <w:rsid w:val="00EB39B2"/>
    <w:rsid w:val="00EB5351"/>
    <w:rsid w:val="00EB59AD"/>
    <w:rsid w:val="00EF1DCC"/>
    <w:rsid w:val="00F02BBD"/>
    <w:rsid w:val="00F05D02"/>
    <w:rsid w:val="00F368A8"/>
    <w:rsid w:val="00F75593"/>
    <w:rsid w:val="00FB4D98"/>
    <w:rsid w:val="00FD44A4"/>
    <w:rsid w:val="00FE6191"/>
    <w:rsid w:val="16D30BAF"/>
    <w:rsid w:val="175E42E6"/>
    <w:rsid w:val="29C45DBB"/>
    <w:rsid w:val="34CD3AE5"/>
    <w:rsid w:val="567114AB"/>
    <w:rsid w:val="621E4CCD"/>
    <w:rsid w:val="66DA4985"/>
    <w:rsid w:val="6C4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Chars="200" w:hanging="200" w:hangingChars="2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Times New Roman" w:cs="Times New Roman"/>
      <w:kern w:val="0"/>
      <w:sz w:val="20"/>
      <w:szCs w:val="20"/>
      <w:lang w:bidi="ar-S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26"/>
    </w:rPr>
  </w:style>
  <w:style w:type="character" w:customStyle="1" w:styleId="10">
    <w:name w:val="页脚 Char"/>
    <w:basedOn w:val="8"/>
    <w:link w:val="3"/>
    <w:semiHidden/>
    <w:uiPriority w:val="99"/>
    <w:rPr>
      <w:sz w:val="18"/>
      <w:szCs w:val="26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287</Words>
  <Characters>1636</Characters>
  <Lines>13</Lines>
  <Paragraphs>3</Paragraphs>
  <TotalTime>0</TotalTime>
  <ScaleCrop>false</ScaleCrop>
  <LinksUpToDate>false</LinksUpToDate>
  <CharactersWithSpaces>1920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2017-05-12T08:04:00Z</dcterms:created>
  <dc:creator>DELL</dc:creator>
  <cp:lastModifiedBy>lenovo</cp:lastModifiedBy>
  <dcterms:modified xsi:type="dcterms:W3CDTF">2020-05-14T09:06:02Z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